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EB" w:rsidRPr="00F21442" w:rsidRDefault="007C6EEB" w:rsidP="007C6EEB">
      <w:pPr>
        <w:widowControl w:val="0"/>
        <w:shd w:val="clear" w:color="auto" w:fill="FFFFFF"/>
        <w:jc w:val="center"/>
        <w:rPr>
          <w:rFonts w:cs="FreeSans"/>
          <w:b/>
          <w:bCs/>
          <w:color w:val="000000"/>
          <w:kern w:val="1"/>
          <w:lang w:bidi="hi-IN"/>
        </w:rPr>
      </w:pPr>
      <w:r w:rsidRPr="00F21442">
        <w:rPr>
          <w:rFonts w:cs="FreeSans"/>
          <w:b/>
          <w:bCs/>
          <w:color w:val="000000"/>
          <w:kern w:val="1"/>
          <w:lang w:bidi="hi-IN"/>
        </w:rPr>
        <w:t xml:space="preserve">АВТОНОМНАЯ НЕКОММЕРЧЕСКАЯ ОРГАНИЗАЦИЯ ДОПОЛНИТЕЛЬНОГО ПРОФЕССИОНАЛЬНОГО ОБРАЗОВАНИЯ </w:t>
      </w:r>
    </w:p>
    <w:p w:rsidR="007C6EEB" w:rsidRPr="00F21442" w:rsidRDefault="007C6EEB" w:rsidP="007C6EEB">
      <w:pPr>
        <w:widowControl w:val="0"/>
        <w:shd w:val="clear" w:color="auto" w:fill="FFFFFF"/>
        <w:jc w:val="center"/>
        <w:rPr>
          <w:rFonts w:cs="FreeSans"/>
          <w:b/>
          <w:bCs/>
          <w:color w:val="000000"/>
          <w:kern w:val="1"/>
          <w:lang w:bidi="hi-IN"/>
        </w:rPr>
      </w:pPr>
      <w:r w:rsidRPr="00F21442">
        <w:rPr>
          <w:rFonts w:cs="FreeSans"/>
          <w:b/>
          <w:bCs/>
          <w:color w:val="000000"/>
          <w:kern w:val="1"/>
          <w:lang w:bidi="hi-IN"/>
        </w:rPr>
        <w:t>«ЦЕНТРАЛЬНЫЙ МНОГОПРОФИЛЬНЫЙ ИНСТИТУТ»</w:t>
      </w:r>
    </w:p>
    <w:p w:rsidR="007C6EEB" w:rsidRPr="00F21442" w:rsidRDefault="007C6EEB" w:rsidP="007C6EEB">
      <w:pPr>
        <w:widowControl w:val="0"/>
        <w:shd w:val="clear" w:color="auto" w:fill="FFFFFF"/>
        <w:jc w:val="center"/>
        <w:rPr>
          <w:rFonts w:cs="FreeSans"/>
          <w:b/>
          <w:bCs/>
          <w:color w:val="000000"/>
          <w:kern w:val="1"/>
          <w:lang w:bidi="hi-IN"/>
        </w:rPr>
      </w:pPr>
    </w:p>
    <w:p w:rsidR="007C6EEB" w:rsidRPr="00F21442" w:rsidRDefault="007C6EEB" w:rsidP="007C6EEB">
      <w:pPr>
        <w:widowControl w:val="0"/>
        <w:shd w:val="clear" w:color="auto" w:fill="FFFFFF"/>
        <w:jc w:val="right"/>
        <w:rPr>
          <w:rFonts w:cs="FreeSans"/>
          <w:b/>
          <w:bCs/>
          <w:color w:val="000000"/>
          <w:kern w:val="1"/>
          <w:lang w:bidi="hi-IN"/>
        </w:rPr>
      </w:pPr>
      <w:r w:rsidRPr="00F21442">
        <w:rPr>
          <w:rFonts w:cs="FreeSans"/>
          <w:b/>
          <w:bCs/>
          <w:color w:val="000000"/>
          <w:kern w:val="1"/>
          <w:lang w:bidi="hi-IN"/>
        </w:rPr>
        <w:t>УТВЕРЖДАЮ</w:t>
      </w:r>
    </w:p>
    <w:p w:rsidR="007C6EEB" w:rsidRPr="00F21442" w:rsidRDefault="007C6EEB" w:rsidP="007C6EEB">
      <w:pPr>
        <w:widowControl w:val="0"/>
        <w:shd w:val="clear" w:color="auto" w:fill="FFFFFF"/>
        <w:jc w:val="right"/>
        <w:rPr>
          <w:rFonts w:cs="FreeSans"/>
          <w:b/>
          <w:bCs/>
          <w:color w:val="000000"/>
          <w:kern w:val="1"/>
          <w:lang w:bidi="hi-IN"/>
        </w:rPr>
      </w:pPr>
      <w:r w:rsidRPr="00F21442">
        <w:rPr>
          <w:rFonts w:cs="FreeSans"/>
          <w:b/>
          <w:bCs/>
          <w:color w:val="000000"/>
          <w:kern w:val="1"/>
          <w:lang w:bidi="hi-IN"/>
        </w:rPr>
        <w:t>Директор АНО «ЦМИ»</w:t>
      </w:r>
    </w:p>
    <w:p w:rsidR="007C6EEB" w:rsidRPr="00F21442" w:rsidRDefault="007C6EEB" w:rsidP="007C6EEB">
      <w:pPr>
        <w:widowControl w:val="0"/>
        <w:shd w:val="clear" w:color="auto" w:fill="FFFFFF"/>
        <w:jc w:val="right"/>
        <w:rPr>
          <w:rFonts w:cs="FreeSans"/>
          <w:b/>
          <w:bCs/>
          <w:color w:val="000000"/>
          <w:kern w:val="1"/>
          <w:lang w:bidi="hi-IN"/>
        </w:rPr>
      </w:pPr>
      <w:r w:rsidRPr="00F21442">
        <w:rPr>
          <w:rFonts w:cs="FreeSans"/>
          <w:b/>
          <w:bCs/>
          <w:color w:val="000000"/>
          <w:kern w:val="1"/>
          <w:lang w:bidi="hi-IN"/>
        </w:rPr>
        <w:t xml:space="preserve"> __________________А.Х. </w:t>
      </w:r>
      <w:proofErr w:type="spellStart"/>
      <w:r w:rsidRPr="00F21442">
        <w:rPr>
          <w:rFonts w:cs="FreeSans"/>
          <w:b/>
          <w:bCs/>
          <w:color w:val="000000"/>
          <w:kern w:val="1"/>
          <w:lang w:bidi="hi-IN"/>
        </w:rPr>
        <w:t>Тамбиев</w:t>
      </w:r>
      <w:proofErr w:type="spellEnd"/>
    </w:p>
    <w:p w:rsidR="00F80D59" w:rsidRPr="00803962" w:rsidRDefault="007C6EEB" w:rsidP="007C6EEB">
      <w:pPr>
        <w:jc w:val="right"/>
      </w:pPr>
      <w:r w:rsidRPr="00F21442">
        <w:rPr>
          <w:rFonts w:ascii="Liberation Serif" w:hAnsi="Liberation Serif" w:cs="FreeSans"/>
          <w:b/>
          <w:bCs/>
          <w:color w:val="000000"/>
          <w:kern w:val="1"/>
          <w:lang w:eastAsia="zh-CN" w:bidi="hi-IN"/>
        </w:rPr>
        <w:t>«_____»___________________2017 г.</w:t>
      </w:r>
    </w:p>
    <w:p w:rsidR="00F80D59" w:rsidRPr="00803962" w:rsidRDefault="00F80D59" w:rsidP="00803962">
      <w:pPr>
        <w:shd w:val="clear" w:color="auto" w:fill="FFFFFF"/>
        <w:jc w:val="center"/>
        <w:rPr>
          <w:b/>
          <w:bCs/>
          <w:iCs/>
        </w:rPr>
      </w:pPr>
    </w:p>
    <w:p w:rsidR="00F80D59" w:rsidRPr="00803962" w:rsidRDefault="00F80D59" w:rsidP="00B64F0C">
      <w:pPr>
        <w:jc w:val="center"/>
        <w:rPr>
          <w:b/>
        </w:rPr>
      </w:pPr>
    </w:p>
    <w:p w:rsidR="00F80D59" w:rsidRPr="00803962" w:rsidRDefault="00F80D59" w:rsidP="00B64F0C">
      <w:pPr>
        <w:jc w:val="center"/>
        <w:rPr>
          <w:b/>
        </w:rPr>
      </w:pPr>
      <w:r w:rsidRPr="00803962">
        <w:rPr>
          <w:b/>
        </w:rPr>
        <w:t>УЧЕБНЫЙ ПЛАН</w:t>
      </w:r>
    </w:p>
    <w:p w:rsidR="00F80D59" w:rsidRPr="00803962" w:rsidRDefault="00F80D59" w:rsidP="00B64F0C">
      <w:pPr>
        <w:jc w:val="center"/>
        <w:rPr>
          <w:b/>
        </w:rPr>
      </w:pPr>
      <w:r w:rsidRPr="00803962">
        <w:rPr>
          <w:b/>
        </w:rPr>
        <w:t>"</w:t>
      </w:r>
      <w:r w:rsidR="00B10FDE">
        <w:rPr>
          <w:b/>
        </w:rPr>
        <w:t>Основы медицинских знаний и здорового образа жизни</w:t>
      </w:r>
      <w:r w:rsidRPr="00803962">
        <w:rPr>
          <w:b/>
        </w:rPr>
        <w:t>"</w:t>
      </w:r>
    </w:p>
    <w:p w:rsidR="00F80D59" w:rsidRPr="00803962" w:rsidRDefault="00F80D59" w:rsidP="00803962">
      <w:pPr>
        <w:jc w:val="center"/>
        <w:rPr>
          <w:b/>
        </w:rPr>
      </w:pPr>
    </w:p>
    <w:p w:rsidR="00F80D59" w:rsidRPr="00803962" w:rsidRDefault="00F80D59" w:rsidP="00803962">
      <w:pPr>
        <w:jc w:val="both"/>
      </w:pPr>
      <w:r w:rsidRPr="00803962">
        <w:rPr>
          <w:b/>
        </w:rPr>
        <w:t xml:space="preserve">Цель: </w:t>
      </w:r>
      <w:r w:rsidRPr="00803962">
        <w:t>освоение теоретических и профессиональных практических навыков по вопросам формирования здорового образа жизни, первичной и вторичной профилактики хронических неинфекционных заболеваний (ХНИЗ) у взрослого населения Российской Федерации.</w:t>
      </w:r>
    </w:p>
    <w:p w:rsidR="00F80D59" w:rsidRPr="00803962" w:rsidRDefault="00F80D59" w:rsidP="00803962">
      <w:pPr>
        <w:jc w:val="both"/>
      </w:pPr>
      <w:r w:rsidRPr="00803962">
        <w:rPr>
          <w:b/>
        </w:rPr>
        <w:t xml:space="preserve">Категория слушателей: </w:t>
      </w:r>
      <w:r w:rsidR="00AE25E5">
        <w:t>специалисты со средним медицинским образованием.</w:t>
      </w:r>
    </w:p>
    <w:p w:rsidR="00F80D59" w:rsidRPr="00803962" w:rsidRDefault="00F80D59" w:rsidP="00803962">
      <w:pPr>
        <w:pStyle w:val="rvps4"/>
        <w:spacing w:before="0" w:beforeAutospacing="0" w:after="0" w:afterAutospacing="0"/>
        <w:jc w:val="both"/>
        <w:rPr>
          <w:color w:val="000000"/>
        </w:rPr>
      </w:pPr>
      <w:r w:rsidRPr="00803962">
        <w:rPr>
          <w:rStyle w:val="rvts6"/>
          <w:rFonts w:eastAsia="SimSun"/>
          <w:b/>
          <w:color w:val="000000"/>
        </w:rPr>
        <w:t>Продолжительность обучения:</w:t>
      </w:r>
      <w:r w:rsidRPr="00803962">
        <w:rPr>
          <w:rStyle w:val="rvts6"/>
          <w:rFonts w:eastAsia="SimSun"/>
          <w:color w:val="000000"/>
        </w:rPr>
        <w:t xml:space="preserve"> </w:t>
      </w:r>
      <w:r w:rsidR="00AE25E5">
        <w:t>144 часа</w:t>
      </w:r>
    </w:p>
    <w:p w:rsidR="00F80D59" w:rsidRPr="00803962" w:rsidRDefault="00F80D59" w:rsidP="00803962">
      <w:pPr>
        <w:pStyle w:val="rvps4"/>
        <w:spacing w:before="0" w:beforeAutospacing="0" w:after="0" w:afterAutospacing="0"/>
        <w:jc w:val="both"/>
        <w:rPr>
          <w:rStyle w:val="rvts6"/>
          <w:rFonts w:eastAsia="SimSun"/>
          <w:color w:val="000000"/>
        </w:rPr>
      </w:pPr>
      <w:r w:rsidRPr="00803962">
        <w:rPr>
          <w:rStyle w:val="rvts6"/>
          <w:rFonts w:eastAsia="SimSun"/>
          <w:b/>
          <w:color w:val="000000"/>
        </w:rPr>
        <w:t>Форма обучения:</w:t>
      </w:r>
      <w:r w:rsidRPr="00803962">
        <w:rPr>
          <w:rStyle w:val="rvts6"/>
          <w:rFonts w:eastAsia="SimSun"/>
          <w:color w:val="000000"/>
        </w:rPr>
        <w:t xml:space="preserve"> очная, </w:t>
      </w:r>
      <w:proofErr w:type="spellStart"/>
      <w:r w:rsidRPr="00803962">
        <w:rPr>
          <w:rStyle w:val="rvts6"/>
          <w:rFonts w:eastAsia="SimSun"/>
          <w:color w:val="000000"/>
        </w:rPr>
        <w:t>очно-заочная</w:t>
      </w:r>
      <w:proofErr w:type="spellEnd"/>
      <w:r w:rsidRPr="00803962">
        <w:rPr>
          <w:rStyle w:val="rvts6"/>
          <w:rFonts w:eastAsia="SimSun"/>
          <w:color w:val="000000"/>
        </w:rPr>
        <w:t>, дистанционная.</w:t>
      </w:r>
    </w:p>
    <w:p w:rsidR="00F80D59" w:rsidRPr="00803962" w:rsidRDefault="00F80D59" w:rsidP="00803962">
      <w:pPr>
        <w:pStyle w:val="rvps4"/>
        <w:spacing w:before="0" w:beforeAutospacing="0" w:after="0" w:afterAutospacing="0"/>
        <w:jc w:val="both"/>
        <w:rPr>
          <w:color w:val="00000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992"/>
        <w:gridCol w:w="992"/>
        <w:gridCol w:w="1089"/>
        <w:gridCol w:w="1260"/>
      </w:tblGrid>
      <w:tr w:rsidR="00F80D59" w:rsidRPr="00803962" w:rsidTr="00977F10">
        <w:trPr>
          <w:trHeight w:val="363"/>
        </w:trPr>
        <w:tc>
          <w:tcPr>
            <w:tcW w:w="675" w:type="dxa"/>
            <w:vMerge w:val="restart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</w:p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 xml:space="preserve">№ </w:t>
            </w:r>
            <w:proofErr w:type="spellStart"/>
            <w:proofErr w:type="gramStart"/>
            <w:r w:rsidRPr="00803962">
              <w:rPr>
                <w:b/>
              </w:rPr>
              <w:t>п</w:t>
            </w:r>
            <w:proofErr w:type="spellEnd"/>
            <w:proofErr w:type="gramEnd"/>
            <w:r w:rsidRPr="00803962">
              <w:rPr>
                <w:b/>
              </w:rPr>
              <w:t>/</w:t>
            </w:r>
            <w:proofErr w:type="spellStart"/>
            <w:r w:rsidRPr="00803962">
              <w:rPr>
                <w:b/>
              </w:rPr>
              <w:t>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Всего часов</w:t>
            </w:r>
          </w:p>
        </w:tc>
        <w:tc>
          <w:tcPr>
            <w:tcW w:w="2081" w:type="dxa"/>
            <w:gridSpan w:val="2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в том числе:</w:t>
            </w:r>
          </w:p>
          <w:p w:rsidR="00F80D59" w:rsidRPr="00803962" w:rsidRDefault="00F80D59" w:rsidP="00803962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Формы контроля</w:t>
            </w:r>
          </w:p>
        </w:tc>
      </w:tr>
      <w:tr w:rsidR="00F80D59" w:rsidRPr="00803962" w:rsidTr="00977F10">
        <w:trPr>
          <w:trHeight w:val="415"/>
        </w:trPr>
        <w:tc>
          <w:tcPr>
            <w:tcW w:w="675" w:type="dxa"/>
            <w:vMerge/>
            <w:vAlign w:val="center"/>
          </w:tcPr>
          <w:p w:rsidR="00F80D59" w:rsidRPr="00803962" w:rsidRDefault="00F80D59" w:rsidP="00803962"/>
        </w:tc>
        <w:tc>
          <w:tcPr>
            <w:tcW w:w="4820" w:type="dxa"/>
            <w:vMerge/>
            <w:vAlign w:val="center"/>
          </w:tcPr>
          <w:p w:rsidR="00F80D59" w:rsidRPr="00803962" w:rsidRDefault="00F80D59" w:rsidP="00803962"/>
        </w:tc>
        <w:tc>
          <w:tcPr>
            <w:tcW w:w="992" w:type="dxa"/>
            <w:vMerge/>
            <w:vAlign w:val="center"/>
          </w:tcPr>
          <w:p w:rsidR="00F80D59" w:rsidRPr="00803962" w:rsidRDefault="00F80D59" w:rsidP="00803962"/>
        </w:tc>
        <w:tc>
          <w:tcPr>
            <w:tcW w:w="992" w:type="dxa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Лекции</w:t>
            </w:r>
          </w:p>
        </w:tc>
        <w:tc>
          <w:tcPr>
            <w:tcW w:w="1089" w:type="dxa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Практика/ семинар</w:t>
            </w:r>
          </w:p>
        </w:tc>
        <w:tc>
          <w:tcPr>
            <w:tcW w:w="1260" w:type="dxa"/>
            <w:vMerge/>
            <w:vAlign w:val="center"/>
          </w:tcPr>
          <w:p w:rsidR="00F80D59" w:rsidRPr="00803962" w:rsidRDefault="00F80D59" w:rsidP="00803962"/>
        </w:tc>
      </w:tr>
      <w:tr w:rsidR="00803962" w:rsidRPr="00803962" w:rsidTr="004C22E5">
        <w:trPr>
          <w:trHeight w:val="440"/>
        </w:trPr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1.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B64F0C">
            <w:r w:rsidRPr="00803962">
              <w:t>Проблема профилактики на</w:t>
            </w:r>
            <w:r w:rsidR="00B64F0C">
              <w:t xml:space="preserve"> </w:t>
            </w:r>
            <w:r w:rsidRPr="00803962">
              <w:t>современном этапе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-</w:t>
            </w:r>
          </w:p>
        </w:tc>
        <w:tc>
          <w:tcPr>
            <w:tcW w:w="1260" w:type="dxa"/>
            <w:vAlign w:val="center"/>
          </w:tcPr>
          <w:p w:rsidR="00803962" w:rsidRPr="00803962" w:rsidRDefault="00803962" w:rsidP="00803962">
            <w:pPr>
              <w:jc w:val="center"/>
            </w:pPr>
            <w:r w:rsidRPr="00803962">
              <w:t>зачет</w:t>
            </w:r>
          </w:p>
        </w:tc>
      </w:tr>
      <w:tr w:rsidR="00803962" w:rsidRPr="00803962" w:rsidTr="004A4DD6">
        <w:trPr>
          <w:trHeight w:val="440"/>
        </w:trPr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2.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B64F0C">
            <w:r w:rsidRPr="00803962">
              <w:t>Организация медицинской</w:t>
            </w:r>
            <w:r w:rsidR="00B64F0C">
              <w:t xml:space="preserve"> </w:t>
            </w:r>
            <w:r w:rsidRPr="00803962">
              <w:t>профилактики. Приоритеты. Задачи.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-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F574A8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3.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 xml:space="preserve">Концепция </w:t>
            </w:r>
            <w:proofErr w:type="gramStart"/>
            <w:r w:rsidRPr="00803962">
              <w:t>ФР</w:t>
            </w:r>
            <w:proofErr w:type="gramEnd"/>
            <w:r w:rsidRPr="00803962">
              <w:t xml:space="preserve"> как научная основа и</w:t>
            </w:r>
          </w:p>
          <w:p w:rsidR="00803962" w:rsidRPr="00803962" w:rsidRDefault="00803962" w:rsidP="00B64F0C">
            <w:r w:rsidRPr="00803962">
              <w:t>ключевой элемент стратегии</w:t>
            </w:r>
            <w:r w:rsidR="00B64F0C">
              <w:t xml:space="preserve"> </w:t>
            </w:r>
            <w:r w:rsidRPr="00803962">
              <w:t>профилактики. Стратегии</w:t>
            </w:r>
            <w:r w:rsidR="00B64F0C">
              <w:t xml:space="preserve"> </w:t>
            </w:r>
            <w:r w:rsidRPr="00803962">
              <w:t>профилактики. Понятие о суммарном</w:t>
            </w:r>
            <w:r w:rsidR="00B64F0C">
              <w:t xml:space="preserve"> </w:t>
            </w:r>
            <w:r w:rsidRPr="00803962">
              <w:t>риске.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-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FB5ABD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4.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>Организационные принципы</w:t>
            </w:r>
          </w:p>
          <w:p w:rsidR="00803962" w:rsidRPr="00803962" w:rsidRDefault="00803962" w:rsidP="00803962">
            <w:r w:rsidRPr="00803962">
              <w:t xml:space="preserve">деятельности центров здоровья </w:t>
            </w:r>
            <w:proofErr w:type="gramStart"/>
            <w:r w:rsidRPr="00803962">
              <w:t>по</w:t>
            </w:r>
            <w:proofErr w:type="gramEnd"/>
          </w:p>
          <w:p w:rsidR="00803962" w:rsidRPr="00803962" w:rsidRDefault="00803962" w:rsidP="00803962">
            <w:r w:rsidRPr="00803962">
              <w:t>формированию здорового образа жизни</w:t>
            </w:r>
          </w:p>
          <w:p w:rsidR="00803962" w:rsidRPr="00803962" w:rsidRDefault="00803962" w:rsidP="00803962">
            <w:r w:rsidRPr="00803962">
              <w:t>у граждан РФ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803962" w:rsidP="00803962">
            <w:pPr>
              <w:jc w:val="center"/>
            </w:pPr>
            <w:r w:rsidRPr="00B64F0C">
              <w:t>-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015FDB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5.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 xml:space="preserve">Автоматизация </w:t>
            </w:r>
            <w:proofErr w:type="gramStart"/>
            <w:r w:rsidRPr="00803962">
              <w:t>профилактического</w:t>
            </w:r>
            <w:proofErr w:type="gramEnd"/>
          </w:p>
          <w:p w:rsidR="00803962" w:rsidRPr="00803962" w:rsidRDefault="00803962" w:rsidP="00803962">
            <w:r w:rsidRPr="00803962">
              <w:t>скрининга в ЦЗ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2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601670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6.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B64F0C">
            <w:r w:rsidRPr="00803962">
              <w:t>Курение как фактор риска, методы</w:t>
            </w:r>
            <w:r w:rsidR="00B64F0C">
              <w:t xml:space="preserve"> </w:t>
            </w:r>
            <w:r w:rsidRPr="00803962">
              <w:t>коррекции.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D50174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7.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B64F0C">
            <w:proofErr w:type="spellStart"/>
            <w:r w:rsidRPr="00803962">
              <w:t>Гиперхолестеринемия</w:t>
            </w:r>
            <w:proofErr w:type="spellEnd"/>
            <w:r w:rsidRPr="00803962">
              <w:t xml:space="preserve"> и другие</w:t>
            </w:r>
            <w:r w:rsidR="00B64F0C">
              <w:t xml:space="preserve"> </w:t>
            </w:r>
            <w:r w:rsidRPr="00803962">
              <w:t>нарушения липидного обмена как</w:t>
            </w:r>
            <w:r w:rsidR="00B64F0C">
              <w:t xml:space="preserve"> </w:t>
            </w:r>
            <w:r w:rsidRPr="00803962">
              <w:t>фактор риска ССЗ, возможные пути</w:t>
            </w:r>
            <w:r w:rsidR="00B64F0C">
              <w:t xml:space="preserve"> </w:t>
            </w:r>
            <w:r w:rsidRPr="00803962">
              <w:t>коррекции.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3E0FBA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8.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B64F0C">
            <w:r w:rsidRPr="00803962">
              <w:t>Основные принципы здорового</w:t>
            </w:r>
            <w:r w:rsidR="00B64F0C">
              <w:t xml:space="preserve"> </w:t>
            </w:r>
            <w:r w:rsidRPr="00803962">
              <w:t>питания.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033B25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9.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>Избыточная масса тела и ожирение как</w:t>
            </w:r>
          </w:p>
          <w:p w:rsidR="00803962" w:rsidRPr="00803962" w:rsidRDefault="00803962" w:rsidP="00803962">
            <w:r w:rsidRPr="00803962">
              <w:t>факторы риска НИЗ, возможные пути</w:t>
            </w:r>
          </w:p>
          <w:p w:rsidR="00803962" w:rsidRPr="00803962" w:rsidRDefault="00803962" w:rsidP="00803962">
            <w:r w:rsidRPr="00803962">
              <w:t>коррекции.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105494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10.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>Недостаточная физическая активность</w:t>
            </w:r>
          </w:p>
          <w:p w:rsidR="00803962" w:rsidRPr="00803962" w:rsidRDefault="00803962" w:rsidP="00803962">
            <w:r w:rsidRPr="00803962">
              <w:t>как фактор риска НИЗ, методы</w:t>
            </w:r>
          </w:p>
          <w:p w:rsidR="00803962" w:rsidRPr="00803962" w:rsidRDefault="00803962" w:rsidP="00803962">
            <w:r w:rsidRPr="00803962">
              <w:lastRenderedPageBreak/>
              <w:t>коррекции.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lastRenderedPageBreak/>
              <w:t>8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8C3AF1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lastRenderedPageBreak/>
              <w:t>11.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>Артериальная гипертония (АГ) как</w:t>
            </w:r>
          </w:p>
          <w:p w:rsidR="00803962" w:rsidRPr="00803962" w:rsidRDefault="00803962" w:rsidP="00803962">
            <w:r w:rsidRPr="00803962">
              <w:t>медико-социальная проблема и фактор</w:t>
            </w:r>
          </w:p>
          <w:p w:rsidR="00803962" w:rsidRPr="00803962" w:rsidRDefault="00803962" w:rsidP="00803962">
            <w:r w:rsidRPr="00803962">
              <w:t>риска ССЗ. Принципы коррекции.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227247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12.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>Чрезмерное употребление алкоголя как</w:t>
            </w:r>
          </w:p>
          <w:p w:rsidR="00803962" w:rsidRPr="00803962" w:rsidRDefault="00803962" w:rsidP="00B64F0C">
            <w:r w:rsidRPr="00803962">
              <w:t>фактор риска неинфекционных</w:t>
            </w:r>
            <w:r w:rsidR="00B64F0C">
              <w:t xml:space="preserve"> </w:t>
            </w:r>
            <w:r w:rsidRPr="00803962">
              <w:t>заболеваний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803962" w:rsidP="00803962">
            <w:pPr>
              <w:jc w:val="center"/>
              <w:rPr>
                <w:w w:val="99"/>
              </w:rPr>
            </w:pPr>
            <w:r w:rsidRPr="00B64F0C">
              <w:rPr>
                <w:w w:val="99"/>
              </w:rPr>
              <w:t>-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836F49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13.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>Метаболический синдром. Сахарный</w:t>
            </w:r>
          </w:p>
          <w:p w:rsidR="00803962" w:rsidRPr="00803962" w:rsidRDefault="00803962" w:rsidP="00803962">
            <w:r w:rsidRPr="00803962">
              <w:t>диабет (СД) как фактор риска ССЗ.</w:t>
            </w:r>
          </w:p>
          <w:p w:rsidR="00803962" w:rsidRPr="00803962" w:rsidRDefault="00803962" w:rsidP="00803962">
            <w:r w:rsidRPr="00803962">
              <w:t>Особенности целевых уровней других</w:t>
            </w:r>
          </w:p>
          <w:p w:rsidR="00803962" w:rsidRPr="00803962" w:rsidRDefault="00803962" w:rsidP="00803962">
            <w:proofErr w:type="gramStart"/>
            <w:r w:rsidRPr="00803962">
              <w:t>ФР</w:t>
            </w:r>
            <w:proofErr w:type="gramEnd"/>
            <w:r w:rsidRPr="00803962">
              <w:t xml:space="preserve"> при сахарном диабете.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743ECF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14.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>Психосоциальные факторы риска и</w:t>
            </w:r>
          </w:p>
          <w:p w:rsidR="00803962" w:rsidRPr="00803962" w:rsidRDefault="00803962" w:rsidP="00803962">
            <w:r w:rsidRPr="00803962">
              <w:t>принципы их коррекции.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0A0D8C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15.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803962">
            <w:r w:rsidRPr="00803962">
              <w:t>Основные принципы</w:t>
            </w:r>
          </w:p>
          <w:p w:rsidR="00803962" w:rsidRPr="00803962" w:rsidRDefault="00803962" w:rsidP="00803962">
            <w:r w:rsidRPr="00803962">
              <w:t>профилактического консультирования.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175735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16.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B64F0C">
            <w:r w:rsidRPr="00803962">
              <w:t xml:space="preserve">Основные </w:t>
            </w:r>
            <w:proofErr w:type="spellStart"/>
            <w:r w:rsidRPr="00803962">
              <w:t>скрининговые</w:t>
            </w:r>
            <w:proofErr w:type="spellEnd"/>
            <w:r w:rsidRPr="00803962">
              <w:t xml:space="preserve"> методы</w:t>
            </w:r>
            <w:r w:rsidR="00B64F0C">
              <w:t xml:space="preserve"> </w:t>
            </w:r>
            <w:r w:rsidRPr="00803962">
              <w:t>выявления ХНИЗ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16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8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5A3A5A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17.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B64F0C">
            <w:r w:rsidRPr="00803962">
              <w:t>Основы профилактической</w:t>
            </w:r>
            <w:r w:rsidR="00B64F0C">
              <w:t xml:space="preserve"> </w:t>
            </w:r>
            <w:r w:rsidRPr="00803962">
              <w:t>стоматологии.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803962" w:rsidRPr="00803962" w:rsidTr="00442B65">
        <w:tc>
          <w:tcPr>
            <w:tcW w:w="675" w:type="dxa"/>
            <w:vAlign w:val="center"/>
          </w:tcPr>
          <w:p w:rsidR="00803962" w:rsidRPr="00803962" w:rsidRDefault="00803962" w:rsidP="00803962">
            <w:r w:rsidRPr="00803962">
              <w:t>18.</w:t>
            </w:r>
          </w:p>
        </w:tc>
        <w:tc>
          <w:tcPr>
            <w:tcW w:w="4820" w:type="dxa"/>
            <w:vAlign w:val="center"/>
          </w:tcPr>
          <w:p w:rsidR="00803962" w:rsidRPr="00803962" w:rsidRDefault="00803962" w:rsidP="00B64F0C">
            <w:r w:rsidRPr="00803962">
              <w:t>Основы профилактической</w:t>
            </w:r>
            <w:r w:rsidR="00B64F0C">
              <w:t xml:space="preserve"> </w:t>
            </w:r>
            <w:r w:rsidRPr="00803962">
              <w:t>офтальмологии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4</w:t>
            </w:r>
          </w:p>
        </w:tc>
        <w:tc>
          <w:tcPr>
            <w:tcW w:w="992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089" w:type="dxa"/>
            <w:vAlign w:val="bottom"/>
          </w:tcPr>
          <w:p w:rsidR="00803962" w:rsidRPr="00B64F0C" w:rsidRDefault="00AE25E5" w:rsidP="00803962">
            <w:pPr>
              <w:jc w:val="center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1260" w:type="dxa"/>
          </w:tcPr>
          <w:p w:rsidR="00803962" w:rsidRDefault="00803962" w:rsidP="00803962">
            <w:pPr>
              <w:jc w:val="center"/>
            </w:pPr>
            <w:r w:rsidRPr="00780F68">
              <w:t>зачет</w:t>
            </w:r>
          </w:p>
        </w:tc>
      </w:tr>
      <w:tr w:rsidR="00F80D59" w:rsidRPr="00803962" w:rsidTr="00977F10">
        <w:trPr>
          <w:trHeight w:val="360"/>
        </w:trPr>
        <w:tc>
          <w:tcPr>
            <w:tcW w:w="675" w:type="dxa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F80D59" w:rsidRPr="00803962" w:rsidRDefault="00F80D59" w:rsidP="00803962">
            <w:pPr>
              <w:rPr>
                <w:b/>
              </w:rPr>
            </w:pPr>
            <w:r w:rsidRPr="00803962">
              <w:rPr>
                <w:b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F80D59" w:rsidRPr="00803962" w:rsidRDefault="00AE25E5" w:rsidP="008039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F80D59" w:rsidRPr="00803962" w:rsidRDefault="00F80D59" w:rsidP="00803962">
            <w:pPr>
              <w:jc w:val="center"/>
            </w:pPr>
            <w:r w:rsidRPr="00803962">
              <w:t>-</w:t>
            </w:r>
          </w:p>
        </w:tc>
        <w:tc>
          <w:tcPr>
            <w:tcW w:w="1089" w:type="dxa"/>
          </w:tcPr>
          <w:p w:rsidR="00F80D59" w:rsidRPr="00803962" w:rsidRDefault="00F80D59" w:rsidP="00803962">
            <w:pPr>
              <w:jc w:val="center"/>
            </w:pPr>
          </w:p>
          <w:p w:rsidR="00F80D59" w:rsidRPr="00803962" w:rsidRDefault="00AE25E5" w:rsidP="0080396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60" w:type="dxa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  <w:r w:rsidRPr="00803962">
              <w:rPr>
                <w:b/>
              </w:rPr>
              <w:t>Тестовый контроль</w:t>
            </w:r>
          </w:p>
        </w:tc>
      </w:tr>
      <w:tr w:rsidR="00F80D59" w:rsidRPr="00803962" w:rsidTr="00977F10">
        <w:trPr>
          <w:trHeight w:val="417"/>
        </w:trPr>
        <w:tc>
          <w:tcPr>
            <w:tcW w:w="675" w:type="dxa"/>
            <w:vAlign w:val="center"/>
          </w:tcPr>
          <w:p w:rsidR="00F80D59" w:rsidRPr="00803962" w:rsidRDefault="00F80D59" w:rsidP="00803962">
            <w:pPr>
              <w:jc w:val="center"/>
              <w:rPr>
                <w:b/>
              </w:rPr>
            </w:pPr>
          </w:p>
        </w:tc>
        <w:tc>
          <w:tcPr>
            <w:tcW w:w="4820" w:type="dxa"/>
            <w:vAlign w:val="center"/>
          </w:tcPr>
          <w:p w:rsidR="00F80D59" w:rsidRPr="00803962" w:rsidRDefault="00F80D59" w:rsidP="00803962">
            <w:pPr>
              <w:rPr>
                <w:b/>
              </w:rPr>
            </w:pPr>
            <w:r w:rsidRPr="00803962"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:rsidR="00F80D59" w:rsidRPr="00803962" w:rsidRDefault="00AE25E5" w:rsidP="00803962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992" w:type="dxa"/>
            <w:vAlign w:val="center"/>
          </w:tcPr>
          <w:p w:rsidR="00F80D59" w:rsidRPr="00803962" w:rsidRDefault="00AE25E5" w:rsidP="00803962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089" w:type="dxa"/>
            <w:vAlign w:val="center"/>
          </w:tcPr>
          <w:p w:rsidR="00F80D59" w:rsidRPr="00803962" w:rsidRDefault="00AE25E5" w:rsidP="0080396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0" w:type="dxa"/>
          </w:tcPr>
          <w:p w:rsidR="00F80D59" w:rsidRPr="00803962" w:rsidRDefault="00F80D59" w:rsidP="00803962">
            <w:pPr>
              <w:rPr>
                <w:b/>
              </w:rPr>
            </w:pPr>
          </w:p>
        </w:tc>
      </w:tr>
    </w:tbl>
    <w:p w:rsidR="001C4A8F" w:rsidRPr="00803962" w:rsidRDefault="001C4A8F" w:rsidP="00803962"/>
    <w:sectPr w:rsidR="001C4A8F" w:rsidRPr="0080396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59"/>
    <w:rsid w:val="00137B1A"/>
    <w:rsid w:val="001C4A8F"/>
    <w:rsid w:val="00675C8A"/>
    <w:rsid w:val="007C6EEB"/>
    <w:rsid w:val="00803962"/>
    <w:rsid w:val="00850C3B"/>
    <w:rsid w:val="00A10D18"/>
    <w:rsid w:val="00AD255A"/>
    <w:rsid w:val="00AE25E5"/>
    <w:rsid w:val="00B10FDE"/>
    <w:rsid w:val="00B64F0C"/>
    <w:rsid w:val="00F8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5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F80D59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80D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6</cp:revision>
  <dcterms:created xsi:type="dcterms:W3CDTF">2016-08-10T11:54:00Z</dcterms:created>
  <dcterms:modified xsi:type="dcterms:W3CDTF">2017-10-05T11:24:00Z</dcterms:modified>
</cp:coreProperties>
</file>